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F" w:rsidRPr="00CA413F" w:rsidRDefault="00CA413F" w:rsidP="00CA413F">
      <w:pPr>
        <w:rPr>
          <w:rFonts w:ascii="Liberation Serif" w:hAnsi="Liberation Serif" w:cstheme="minorHAnsi"/>
          <w:i/>
          <w:sz w:val="28"/>
          <w:szCs w:val="28"/>
        </w:rPr>
      </w:pPr>
      <w:r w:rsidRPr="00CA413F">
        <w:rPr>
          <w:rFonts w:ascii="Liberation Serif" w:hAnsi="Liberation Serif" w:cstheme="minorHAnsi"/>
          <w:i/>
          <w:sz w:val="28"/>
          <w:szCs w:val="28"/>
        </w:rPr>
        <w:t>(поставка товара</w:t>
      </w:r>
      <w:r w:rsidR="00F16870">
        <w:rPr>
          <w:rFonts w:ascii="Liberation Serif" w:hAnsi="Liberation Serif" w:cstheme="minorHAnsi"/>
          <w:i/>
          <w:sz w:val="28"/>
          <w:szCs w:val="28"/>
        </w:rPr>
        <w:t xml:space="preserve"> ПП РФ 617</w:t>
      </w:r>
      <w:r w:rsidRPr="00CA413F">
        <w:rPr>
          <w:rFonts w:ascii="Liberation Serif" w:hAnsi="Liberation Serif" w:cstheme="minorHAnsi"/>
          <w:i/>
          <w:sz w:val="28"/>
          <w:szCs w:val="28"/>
        </w:rPr>
        <w:t>)</w:t>
      </w:r>
    </w:p>
    <w:p w:rsidR="00C40FB8" w:rsidRPr="00C40FB8" w:rsidRDefault="00C40FB8" w:rsidP="00C40FB8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C40FB8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364EA4" w:rsidRPr="006135B2" w:rsidRDefault="00364EA4" w:rsidP="00364EA4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7651EA" w:rsidRPr="007651EA" w:rsidRDefault="00287297" w:rsidP="007651EA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7651EA" w:rsidRPr="007651EA">
        <w:rPr>
          <w:rFonts w:ascii="Liberation Serif" w:hAnsi="Liberation Serif" w:cstheme="minorHAnsi"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7651EA" w:rsidRPr="007651EA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7651EA" w:rsidRPr="007651EA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041684" w:rsidRPr="00041684" w:rsidRDefault="00041684" w:rsidP="00041684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041684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041684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041684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041684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041684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041684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Pr="00041684">
        <w:rPr>
          <w:rFonts w:ascii="Liberation Serif" w:hAnsi="Liberation Serif" w:cstheme="minorHAnsi"/>
          <w:bCs/>
          <w:sz w:val="28"/>
          <w:szCs w:val="28"/>
        </w:rPr>
        <w:t>РФ № 579);</w:t>
      </w:r>
      <w:proofErr w:type="gramEnd"/>
    </w:p>
    <w:p w:rsidR="00041684" w:rsidRDefault="00041684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041684" w:rsidRPr="00287297" w:rsidRDefault="00041684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lastRenderedPageBreak/>
        <w:t>2) предложение участника закупки в отношении объекта закупки:</w:t>
      </w:r>
    </w:p>
    <w:p w:rsidR="00A02A2D" w:rsidRPr="00A02A2D" w:rsidRDefault="00287297" w:rsidP="00A02A2D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A02A2D" w:rsidRPr="00A02A2D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>частями 3</w:t>
        </w:r>
      </w:hyperlink>
      <w:r w:rsidR="007621CA" w:rsidRPr="007621CA">
        <w:rPr>
          <w:rFonts w:ascii="Liberation Serif" w:hAnsi="Liberation Serif" w:cstheme="minorHAnsi"/>
          <w:b/>
          <w:sz w:val="28"/>
          <w:szCs w:val="28"/>
        </w:rPr>
        <w:t xml:space="preserve"> и </w:t>
      </w:r>
      <w:hyperlink r:id="rId7" w:history="1"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 xml:space="preserve">4 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8" w:history="1">
        <w:r w:rsidRPr="007B395E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пунктом 7 постановления Правительства РФ от 30.04.2020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 (далее – ПП РФ № 617): 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>подтверждением страны происхождения отдельных видов промышленных товаров является одно из следующих условий: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а)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указание номеров реестровых записей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совокупном количестве баллов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за выполнение технологических операций (условий) на территории Российской Федерации, если это предусмотрено </w:t>
      </w:r>
      <w:hyperlink r:id="rId9" w:history="1">
        <w:r w:rsidRPr="006D0536">
          <w:rPr>
            <w:rFonts w:ascii="Liberation Serif" w:hAnsi="Liberation Serif" w:cstheme="minorHAnsi"/>
            <w:bCs/>
            <w:iCs/>
            <w:sz w:val="28"/>
            <w:szCs w:val="28"/>
          </w:rPr>
          <w:t>постановлением</w:t>
        </w:r>
      </w:hyperlink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, в </w:t>
      </w: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>отношении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lastRenderedPageBreak/>
        <w:t xml:space="preserve">б)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указание номеров реестровых записей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совокупном количестве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0" w:history="1">
        <w:r w:rsidRPr="006D0536">
          <w:rPr>
            <w:rFonts w:ascii="Liberation Serif" w:hAnsi="Liberation Serif" w:cstheme="minorHAnsi"/>
            <w:bCs/>
            <w:iCs/>
            <w:sz w:val="28"/>
            <w:szCs w:val="28"/>
          </w:rPr>
          <w:t>решением</w:t>
        </w:r>
      </w:hyperlink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Совета Евразийской экономической комиссии от 23 ноября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2020 г. N 105 "Об утверждении </w:t>
      </w: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>Правил определения страны происхождения отдельных видов товаров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пунктом 9 ПП РФ № 617: </w:t>
      </w:r>
    </w:p>
    <w:p w:rsidR="005E6F45" w:rsidRDefault="005E6F45" w:rsidP="005E6F45">
      <w:pPr>
        <w:jc w:val="both"/>
        <w:rPr>
          <w:rFonts w:ascii="Liberation Serif" w:hAnsi="Liberation Serif" w:cstheme="minorHAnsi"/>
          <w:b/>
          <w:bCs/>
          <w:iCs/>
          <w:sz w:val="28"/>
          <w:szCs w:val="28"/>
        </w:rPr>
      </w:pPr>
      <w:r w:rsidRPr="005E6F45">
        <w:rPr>
          <w:rFonts w:ascii="Liberation Serif" w:hAnsi="Liberation Serif" w:cstheme="minorHAnsi"/>
          <w:b/>
          <w:bCs/>
          <w:iCs/>
          <w:sz w:val="28"/>
          <w:szCs w:val="28"/>
        </w:rPr>
        <w:t xml:space="preserve">Подтверждением страны происхождения товаров, указанных в </w:t>
      </w:r>
      <w:hyperlink r:id="rId11" w:history="1">
        <w:r w:rsidRPr="006A32DF">
          <w:rPr>
            <w:rFonts w:ascii="Liberation Serif" w:hAnsi="Liberation Serif" w:cstheme="minorHAnsi"/>
            <w:b/>
            <w:bCs/>
            <w:iCs/>
            <w:sz w:val="28"/>
            <w:szCs w:val="28"/>
          </w:rPr>
          <w:t>перечне</w:t>
        </w:r>
      </w:hyperlink>
      <w:r w:rsidRPr="005E6F45">
        <w:rPr>
          <w:rFonts w:ascii="Liberation Serif" w:hAnsi="Liberation Serif" w:cstheme="minorHAnsi"/>
          <w:b/>
          <w:bCs/>
          <w:iCs/>
          <w:sz w:val="28"/>
          <w:szCs w:val="28"/>
        </w:rP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D6672B" w:rsidRPr="00D6672B" w:rsidRDefault="00D6672B" w:rsidP="00D6672B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D6672B">
        <w:rPr>
          <w:rFonts w:ascii="Liberation Serif" w:hAnsi="Liberation Serif" w:cstheme="minorHAnsi"/>
          <w:b/>
          <w:bCs/>
          <w:i/>
          <w:iCs/>
          <w:sz w:val="28"/>
          <w:szCs w:val="28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6D423F" w:rsidRPr="006D423F" w:rsidRDefault="006D423F" w:rsidP="007621CA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E86BFD" w:rsidRPr="00E86BFD" w:rsidRDefault="00E86BFD" w:rsidP="00E86BFD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E86BFD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DC47FB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C65C7D" w:rsidRPr="00A02A2D" w:rsidRDefault="00AC7BF3" w:rsidP="00C65C7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lastRenderedPageBreak/>
        <w:t xml:space="preserve">По подпункту о) пункта 1  </w:t>
      </w:r>
      <w:r w:rsidR="00C65C7D" w:rsidRPr="00C65C7D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C65C7D" w:rsidRPr="00C65C7D">
        <w:rPr>
          <w:rFonts w:ascii="Liberation Serif" w:hAnsi="Liberation Serif" w:cstheme="minorHAnsi"/>
          <w:bCs/>
          <w:i/>
          <w:sz w:val="24"/>
          <w:szCs w:val="24"/>
        </w:rPr>
        <w:t>представить декларацию о соответствии требованиям, установленным пунктами 3 - 5, 7 - 11 части 1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 xml:space="preserve"> статьи 31 Федерального закона;</w:t>
      </w:r>
    </w:p>
    <w:p w:rsidR="007651EA" w:rsidRPr="007651EA" w:rsidRDefault="00B57B1F" w:rsidP="007651E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7651EA" w:rsidRPr="007651EA">
        <w:rPr>
          <w:rFonts w:ascii="Liberation Serif" w:hAnsi="Liberation Serif" w:cstheme="minorHAnsi"/>
          <w:bCs/>
          <w:i/>
          <w:iCs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041684" w:rsidRPr="00041684" w:rsidRDefault="00041684" w:rsidP="00041684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041684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2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участник закупки признается </w:t>
      </w:r>
      <w:proofErr w:type="spellStart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закупке в случае </w:t>
      </w:r>
      <w:proofErr w:type="spell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3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579 (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. При этом заявка на участие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поданная таким участником закупки, отклоняется в порядке, установленном для случая, предусмотренного </w:t>
      </w:r>
      <w:hyperlink r:id="rId14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A02A2D" w:rsidRPr="00A02A2D" w:rsidRDefault="00B57B1F" w:rsidP="00A02A2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>личии у товара товарного знака):</w:t>
      </w:r>
    </w:p>
    <w:p w:rsidR="008F7E0D" w:rsidRPr="00253C7A" w:rsidRDefault="008F7E0D" w:rsidP="008F7E0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6734B7" w:rsidRPr="006734B7" w:rsidRDefault="006734B7" w:rsidP="006734B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proofErr w:type="gramStart"/>
      <w:r w:rsidRPr="006734B7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6734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6734B7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lastRenderedPageBreak/>
        <w:t xml:space="preserve">По подпункту д)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FB341E" w:rsidRPr="00FB341E" w:rsidRDefault="007B395E" w:rsidP="00FB341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</w:t>
      </w:r>
      <w:r w:rsidR="0007013E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="00FB341E" w:rsidRPr="00FB341E">
        <w:rPr>
          <w:rFonts w:ascii="Liberation Serif" w:hAnsi="Liberation Serif" w:cstheme="minorHAnsi"/>
          <w:bCs/>
          <w:i/>
          <w:sz w:val="24"/>
          <w:szCs w:val="24"/>
        </w:rPr>
        <w:t>в случае отсутствия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07013E" w:rsidRPr="00DC47FB" w:rsidRDefault="0007013E" w:rsidP="0007013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Cs/>
          <w:i/>
          <w:sz w:val="24"/>
          <w:szCs w:val="24"/>
        </w:rPr>
        <w:t>в соответствии с пункт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>ами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2</w:t>
      </w:r>
      <w:r w:rsidR="00126581">
        <w:rPr>
          <w:rFonts w:ascii="Liberation Serif" w:hAnsi="Liberation Serif" w:cstheme="minorHAnsi"/>
          <w:bCs/>
          <w:i/>
          <w:sz w:val="24"/>
          <w:szCs w:val="24"/>
        </w:rPr>
        <w:t>,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3</w:t>
      </w:r>
      <w:r w:rsidR="00126581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ПП РФ № 617:</w:t>
      </w:r>
    </w:p>
    <w:p w:rsidR="00BA48E2" w:rsidRPr="00BA48E2" w:rsidRDefault="00BA48E2" w:rsidP="00BA48E2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proofErr w:type="gramStart"/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комиссия отклоняет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все заявки, содержащие предложения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 поставке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отдельных видов промышленных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товаров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происходящих из иностранных государств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  <w:u w:val="single"/>
        </w:rPr>
        <w:t>за исключением государств - членов Евразийского экономического союза (далее - заявки)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 условии, что на участие в закупке подана одна (или более) заявка, 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удовлетворяющая требованиям извещения об осуществлении закупки,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которая содержит предложения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 поставке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отдельных видов промышленных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товаров, страной происхождения которых являются только государства - члены Евразийского</w:t>
      </w:r>
      <w:proofErr w:type="gramEnd"/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экономического союза.</w:t>
      </w:r>
    </w:p>
    <w:p w:rsidR="0007013E" w:rsidRDefault="004148E0" w:rsidP="0007013E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В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случае если заявка не отклоняется в соответствии с ограничениями, установленными ПП РФ № 617, </w:t>
      </w:r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применяются </w:t>
      </w:r>
      <w:hyperlink r:id="rId15" w:history="1">
        <w:r w:rsidR="0007013E" w:rsidRPr="00DC47FB">
          <w:rPr>
            <w:rFonts w:ascii="Liberation Serif" w:hAnsi="Liberation Serif" w:cstheme="minorHAnsi"/>
            <w:b/>
            <w:bCs/>
            <w:i/>
            <w:iCs/>
            <w:sz w:val="24"/>
            <w:szCs w:val="24"/>
          </w:rPr>
          <w:t>условия</w:t>
        </w:r>
      </w:hyperlink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допуска 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(</w:t>
      </w:r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в соответствии с</w:t>
      </w:r>
      <w:proofErr w:type="gramEnd"/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Приказом Минфина России от 04.06.2018 N 126н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).</w:t>
      </w:r>
      <w:proofErr w:type="gramEnd"/>
    </w:p>
    <w:p w:rsidR="00CA7A9F" w:rsidRPr="00253C7A" w:rsidRDefault="00CA7A9F" w:rsidP="00CA7A9F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CA7A9F" w:rsidRPr="00253C7A" w:rsidRDefault="00CA7A9F" w:rsidP="00CA7A9F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CA7A9F" w:rsidRPr="008C220A" w:rsidRDefault="00CA7A9F" w:rsidP="00CA7A9F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 xml:space="preserve">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CA7A9F" w:rsidRDefault="00CA7A9F" w:rsidP="00CA7A9F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:rsidR="00484029" w:rsidRPr="00DC47FB" w:rsidRDefault="00484029" w:rsidP="00CA7A9F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484029" w:rsidRPr="00DC47FB" w:rsidSect="00E64EC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13BE1"/>
    <w:rsid w:val="00024495"/>
    <w:rsid w:val="00041684"/>
    <w:rsid w:val="0007013E"/>
    <w:rsid w:val="000712E0"/>
    <w:rsid w:val="00126581"/>
    <w:rsid w:val="00190EFE"/>
    <w:rsid w:val="0023288C"/>
    <w:rsid w:val="00257FAF"/>
    <w:rsid w:val="00287297"/>
    <w:rsid w:val="003507BB"/>
    <w:rsid w:val="003509E8"/>
    <w:rsid w:val="00364EA4"/>
    <w:rsid w:val="004148E0"/>
    <w:rsid w:val="00465929"/>
    <w:rsid w:val="00484029"/>
    <w:rsid w:val="00485DD8"/>
    <w:rsid w:val="004C66BD"/>
    <w:rsid w:val="004E5C92"/>
    <w:rsid w:val="005266AE"/>
    <w:rsid w:val="005B6F48"/>
    <w:rsid w:val="005E6F45"/>
    <w:rsid w:val="00600BE8"/>
    <w:rsid w:val="00615480"/>
    <w:rsid w:val="006233CC"/>
    <w:rsid w:val="006734B7"/>
    <w:rsid w:val="006A32DF"/>
    <w:rsid w:val="006D0536"/>
    <w:rsid w:val="006D423F"/>
    <w:rsid w:val="00701D32"/>
    <w:rsid w:val="007149E0"/>
    <w:rsid w:val="007621CA"/>
    <w:rsid w:val="007651EA"/>
    <w:rsid w:val="007B395E"/>
    <w:rsid w:val="00871286"/>
    <w:rsid w:val="00872AA4"/>
    <w:rsid w:val="008841B1"/>
    <w:rsid w:val="008A6169"/>
    <w:rsid w:val="008C14FB"/>
    <w:rsid w:val="008D791E"/>
    <w:rsid w:val="008F7E0D"/>
    <w:rsid w:val="00940E19"/>
    <w:rsid w:val="00986E5A"/>
    <w:rsid w:val="009D1FCD"/>
    <w:rsid w:val="009F4423"/>
    <w:rsid w:val="00A02A2D"/>
    <w:rsid w:val="00A20CF3"/>
    <w:rsid w:val="00A32F41"/>
    <w:rsid w:val="00A64BE4"/>
    <w:rsid w:val="00A87233"/>
    <w:rsid w:val="00AC7BF3"/>
    <w:rsid w:val="00B57B1F"/>
    <w:rsid w:val="00B847B7"/>
    <w:rsid w:val="00BA2DF6"/>
    <w:rsid w:val="00BA48E2"/>
    <w:rsid w:val="00C014BE"/>
    <w:rsid w:val="00C40FB8"/>
    <w:rsid w:val="00C51EAB"/>
    <w:rsid w:val="00C563C4"/>
    <w:rsid w:val="00C63710"/>
    <w:rsid w:val="00C65C7D"/>
    <w:rsid w:val="00C974CF"/>
    <w:rsid w:val="00CA413F"/>
    <w:rsid w:val="00CA7A9F"/>
    <w:rsid w:val="00CC2BFB"/>
    <w:rsid w:val="00CD1012"/>
    <w:rsid w:val="00D5124C"/>
    <w:rsid w:val="00D6672B"/>
    <w:rsid w:val="00D757C9"/>
    <w:rsid w:val="00DA057A"/>
    <w:rsid w:val="00DC47FB"/>
    <w:rsid w:val="00DF20EF"/>
    <w:rsid w:val="00E12703"/>
    <w:rsid w:val="00E64ECD"/>
    <w:rsid w:val="00E86BFD"/>
    <w:rsid w:val="00F121A8"/>
    <w:rsid w:val="00F16870"/>
    <w:rsid w:val="00F24A14"/>
    <w:rsid w:val="00F43EB6"/>
    <w:rsid w:val="00F652B3"/>
    <w:rsid w:val="00F93C3D"/>
    <w:rsid w:val="00FB341E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3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D2D15DADF3387667448B132275B6665936E0E5C10F276B99807A5ECD6C2C13927B53591CD906E95B7827899ED67B4F75850B98ECG8RAK" TargetMode="External"/><Relationship Id="rId12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D2D15DADF3387667448B132275B6665936E0E5C10F276B99807A5ECD6C2C13927B535914DA0DB65E6D36D191D56451749A179AEE8AG8R2K" TargetMode="External"/><Relationship Id="rId11" Type="http://schemas.openxmlformats.org/officeDocument/2006/relationships/hyperlink" Target="consultantplus://offline/ref=10D97DA616C27B6860E11D3EA6E75B9349A8C77B1E8BF5BF189B75AF08042F0D2402FCAA1D978143A432A57B10498B27E1755BBDi2c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CCF556BE17D88CF92BF2095A4BD7D16741719A603F014D86EE2F5242AD2691EE6517F8B4CCCF44E7350A637E53B4953172961E53247BEM8l1K" TargetMode="External"/><Relationship Id="rId10" Type="http://schemas.openxmlformats.org/officeDocument/2006/relationships/hyperlink" Target="consultantplus://offline/ref=EEDBCAD54F8BCDF7183906630FB0385E7FA47813C4D3F899AD6CDEC5BBCA43B2E005A353C6CB0085F6AD0FE0E04A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BCAD54F8BCDF7183906630FB0385E7FA47B16CFD6F899AD6CDEC5BBCA43B2E005A353C6CB0085F6AD0FE0E04AP8K" TargetMode="External"/><Relationship Id="rId14" Type="http://schemas.openxmlformats.org/officeDocument/2006/relationships/hyperlink" Target="consultantplus://offline/ref=549C0E4A41619E2539527DF37D3BCADC4658BF3EDC5BADB4685EF56FFB55101D9C23DD95246059F6E13F452E284410CACA2360AE4C3Fe8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30FB-40DA-4748-86A5-9FA053B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9</cp:revision>
  <dcterms:created xsi:type="dcterms:W3CDTF">2023-10-30T04:53:00Z</dcterms:created>
  <dcterms:modified xsi:type="dcterms:W3CDTF">2023-12-14T11:08:00Z</dcterms:modified>
</cp:coreProperties>
</file>