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756F0F17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4F22F012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165A7B">
        <w:rPr>
          <w:rFonts w:ascii="Liberation Serif" w:hAnsi="Liberation Serif" w:cstheme="minorHAnsi"/>
          <w:sz w:val="28"/>
          <w:szCs w:val="28"/>
        </w:rPr>
        <w:t>№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165A7B">
        <w:rPr>
          <w:rFonts w:ascii="Liberation Serif" w:hAnsi="Liberation Serif" w:cstheme="minorHAnsi"/>
          <w:sz w:val="28"/>
          <w:szCs w:val="28"/>
        </w:rPr>
        <w:t>«</w:t>
      </w:r>
      <w:r w:rsidRPr="001E1C41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65A7B">
        <w:rPr>
          <w:rFonts w:ascii="Liberation Serif" w:hAnsi="Liberation Serif" w:cstheme="minorHAnsi"/>
          <w:sz w:val="28"/>
          <w:szCs w:val="28"/>
        </w:rPr>
        <w:t>»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20B0ACE4" w14:textId="77777777" w:rsidR="006A6176" w:rsidRPr="000B0DA2" w:rsidRDefault="00287297" w:rsidP="006A6176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7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8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, </w:t>
      </w:r>
      <w:hyperlink r:id="rId9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0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1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2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11CFAB1B" w14:textId="39DAF9DF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дств в к</w:t>
      </w:r>
      <w:proofErr w:type="gramEnd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Default="003B57AF" w:rsidP="003B57AF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7C8C591C" w14:textId="77777777" w:rsidR="000E54EE" w:rsidRPr="00485DD8" w:rsidRDefault="000E54EE" w:rsidP="000E54EE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2F437B9D" w14:textId="77777777" w:rsidR="000E54EE" w:rsidRPr="00287297" w:rsidRDefault="000E54EE" w:rsidP="000E54EE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</w:t>
      </w:r>
      <w:r>
        <w:rPr>
          <w:rFonts w:ascii="Liberation Serif" w:hAnsi="Liberation Serif" w:cstheme="minorHAnsi"/>
          <w:sz w:val="28"/>
          <w:szCs w:val="28"/>
        </w:rPr>
        <w:t xml:space="preserve">. </w:t>
      </w:r>
      <w:r w:rsidRPr="00287297">
        <w:rPr>
          <w:rFonts w:ascii="Liberation Serif" w:hAnsi="Liberation Serif" w:cstheme="minorHAnsi"/>
          <w:sz w:val="28"/>
          <w:szCs w:val="28"/>
        </w:rPr>
        <w:t>При этом отсутствие таких информации и документов не является основанием для отклоне</w:t>
      </w:r>
      <w:r>
        <w:rPr>
          <w:rFonts w:ascii="Liberation Serif" w:hAnsi="Liberation Serif" w:cstheme="minorHAnsi"/>
          <w:sz w:val="28"/>
          <w:szCs w:val="28"/>
        </w:rPr>
        <w:t>ния заявки на участие в закупке.</w:t>
      </w:r>
    </w:p>
    <w:p w14:paraId="77FF3491" w14:textId="0C428629" w:rsidR="00701D32" w:rsidRDefault="000E54EE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3</w:t>
      </w:r>
      <w:r w:rsidR="00701D32" w:rsidRPr="007B395E">
        <w:rPr>
          <w:rFonts w:ascii="Liberation Serif" w:hAnsi="Liberation Serif" w:cstheme="minorHAnsi"/>
          <w:b/>
          <w:sz w:val="28"/>
          <w:szCs w:val="28"/>
        </w:rPr>
        <w:t xml:space="preserve">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AB6AB2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3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76C9559D" w14:textId="77777777" w:rsidR="001E132E" w:rsidRPr="004C0BC1" w:rsidRDefault="001E132E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4C0BC1">
        <w:rPr>
          <w:rFonts w:ascii="Liberation Serif" w:hAnsi="Liberation Serif" w:cstheme="minorHAnsi"/>
          <w:sz w:val="28"/>
          <w:szCs w:val="28"/>
        </w:rPr>
        <w:t xml:space="preserve">в соответствии  с пунктом 3 постановления Правительства РФ от 23.12.2024  </w:t>
      </w:r>
      <w:r w:rsidRPr="004C0BC1">
        <w:rPr>
          <w:rFonts w:ascii="Liberation Serif" w:hAnsi="Liberation Serif" w:cstheme="minorHAnsi"/>
          <w:sz w:val="28"/>
          <w:szCs w:val="28"/>
        </w:rPr>
        <w:br/>
        <w:t>№ 1875 (далее – ПП РФ 1875) информацией и документами, подтверждающими страну происхождения товара для целей ПП РФ 1875, являются:</w:t>
      </w:r>
    </w:p>
    <w:p w14:paraId="445835D0" w14:textId="570450D0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для электронных вычислительных машин и (или) баз данных (далее - программное обеспечение), указанных в </w:t>
      </w:r>
      <w:hyperlink r:id="rId14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>из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- </w:t>
      </w:r>
      <w:r w:rsidRPr="001E132E">
        <w:rPr>
          <w:rFonts w:ascii="Liberation Serif" w:hAnsi="Liberation Serif" w:cstheme="minorHAnsi"/>
          <w:b/>
          <w:sz w:val="28"/>
          <w:szCs w:val="28"/>
        </w:rPr>
        <w:t>порядковый номер реестровой записи из единого реестра российских программ для электронных вычислительных машин и баз данных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(далее - реестр российского программного обеспечения);</w:t>
      </w:r>
    </w:p>
    <w:p w14:paraId="071542F5" w14:textId="35DE2A3B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указанного в </w:t>
      </w:r>
      <w:hyperlink r:id="rId15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N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>, и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з Российской Федерации и его соответствия дополнительным </w:t>
      </w:r>
      <w:hyperlink r:id="rId16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325 </w:t>
      </w:r>
      <w:r w:rsidR="001E132E" w:rsidRPr="001E132E">
        <w:rPr>
          <w:rFonts w:ascii="Liberation Serif" w:hAnsi="Liberation Serif" w:cstheme="minorHAnsi"/>
          <w:sz w:val="28"/>
          <w:szCs w:val="28"/>
        </w:rPr>
        <w:t>«</w:t>
      </w:r>
      <w:r w:rsidRPr="001E132E">
        <w:rPr>
          <w:rFonts w:ascii="Liberation Serif" w:hAnsi="Liberation Serif" w:cstheme="minorHAnsi"/>
          <w:sz w:val="28"/>
          <w:szCs w:val="28"/>
        </w:rPr>
        <w:t>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</w:t>
      </w:r>
      <w:r w:rsidR="001E132E" w:rsidRPr="001E132E">
        <w:rPr>
          <w:rFonts w:ascii="Liberation Serif" w:hAnsi="Liberation Serif" w:cstheme="minorHAnsi"/>
          <w:sz w:val="28"/>
          <w:szCs w:val="28"/>
        </w:rPr>
        <w:t>»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(</w:t>
      </w:r>
      <w:r w:rsidRPr="009172E4">
        <w:rPr>
          <w:rFonts w:ascii="Liberation Serif" w:hAnsi="Liberation Serif" w:cstheme="minorHAnsi"/>
          <w:color w:val="FF0000"/>
          <w:sz w:val="28"/>
          <w:szCs w:val="28"/>
        </w:rPr>
        <w:t>далее - дополнительные требования к программному обеспечению)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- 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порядковый номер реестровой записи из реестра российского программного обеспечения, содержащей информацию о соответствии </w:t>
      </w:r>
      <w:r w:rsidRPr="001E132E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программного обеспечения дополнительным </w:t>
      </w:r>
      <w:hyperlink r:id="rId17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b/>
          <w:sz w:val="28"/>
          <w:szCs w:val="28"/>
        </w:rPr>
        <w:t xml:space="preserve"> к программному обеспечению</w:t>
      </w:r>
      <w:r w:rsidRPr="001E132E">
        <w:rPr>
          <w:rFonts w:ascii="Liberation Serif" w:hAnsi="Liberation Serif" w:cstheme="minorHAnsi"/>
          <w:sz w:val="28"/>
          <w:szCs w:val="28"/>
        </w:rPr>
        <w:t>;</w:t>
      </w:r>
    </w:p>
    <w:p w14:paraId="55B6750A" w14:textId="52172D5C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указанного в </w:t>
      </w:r>
      <w:hyperlink r:id="rId18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- </w:t>
      </w:r>
      <w:r w:rsidRPr="001E132E">
        <w:rPr>
          <w:rFonts w:ascii="Liberation Serif" w:hAnsi="Liberation Serif" w:cstheme="minorHAnsi"/>
          <w:b/>
          <w:sz w:val="28"/>
          <w:szCs w:val="28"/>
        </w:rPr>
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(далее - реестр евразийского программного обеспечения);</w:t>
      </w:r>
    </w:p>
    <w:p w14:paraId="53B4D7C6" w14:textId="772F0C30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указанного в </w:t>
      </w:r>
      <w:hyperlink r:id="rId19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и его соответствия дополнительным </w:t>
      </w:r>
      <w:hyperlink r:id="rId20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к программному обеспечению - 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порядковый номер реестровой записи из реестра евразийского программного обеспечения, содержащей информацию о соответствии программного обеспечения дополнительным </w:t>
      </w:r>
      <w:hyperlink r:id="rId21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b/>
          <w:sz w:val="28"/>
          <w:szCs w:val="28"/>
        </w:rPr>
        <w:t xml:space="preserve"> к программному обеспечению</w:t>
      </w:r>
      <w:r w:rsidR="004C0BC1">
        <w:rPr>
          <w:rFonts w:ascii="Liberation Serif" w:hAnsi="Liberation Serif" w:cstheme="minorHAnsi"/>
          <w:sz w:val="28"/>
          <w:szCs w:val="28"/>
        </w:rPr>
        <w:t>.</w:t>
      </w:r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29ED9866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6A6176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36EEF9C8" w14:textId="77777777" w:rsidR="006A6176" w:rsidRPr="006A6176" w:rsidRDefault="00C51EAB" w:rsidP="006A617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22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3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4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5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6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</w:t>
      </w:r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lastRenderedPageBreak/>
        <w:t>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7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4B773897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ется после</w:t>
      </w:r>
      <w:r w:rsidR="0011525D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контракта;</w:t>
      </w:r>
      <w:proofErr w:type="gramEnd"/>
    </w:p>
    <w:p w14:paraId="5EC6B1FB" w14:textId="085BCB04" w:rsidR="003B57AF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579. В соответствии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28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165A7B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в</w:t>
        </w:r>
      </w:hyperlink>
      <w:r w:rsidR="00165A7B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документы о внесении которых в качестве обеспечения заявки представлены в заявке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29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165A7B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а</w:t>
        </w:r>
      </w:hyperlink>
      <w:r w:rsidR="00165A7B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участие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30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152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40156F4F" w14:textId="63DE5A0B" w:rsidR="000E54EE" w:rsidRPr="000E54EE" w:rsidRDefault="000E54EE" w:rsidP="000E54EE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0E54EE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подпункту д) пункта 2 - </w:t>
      </w:r>
      <w:r w:rsidRPr="000E54EE">
        <w:rPr>
          <w:rFonts w:ascii="Liberation Serif" w:hAnsi="Liberation Serif" w:cstheme="minorHAnsi"/>
          <w:bCs/>
          <w:i/>
          <w:iCs/>
          <w:sz w:val="24"/>
          <w:szCs w:val="24"/>
        </w:rPr>
        <w:t>отсутствие таких информации и документов не является основанием для отклоне</w:t>
      </w:r>
      <w:r w:rsidR="00BD15B5">
        <w:rPr>
          <w:rFonts w:ascii="Liberation Serif" w:hAnsi="Liberation Serif" w:cstheme="minorHAnsi"/>
          <w:bCs/>
          <w:i/>
          <w:iCs/>
          <w:sz w:val="24"/>
          <w:szCs w:val="24"/>
        </w:rPr>
        <w:t>ния заявки на участие в закупке;</w:t>
      </w:r>
      <w:bookmarkStart w:id="0" w:name="_GoBack"/>
      <w:bookmarkEnd w:id="0"/>
    </w:p>
    <w:p w14:paraId="05FD82FB" w14:textId="6588BD46" w:rsidR="00141FFB" w:rsidRDefault="007B395E" w:rsidP="004576A2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</w:t>
      </w:r>
      <w:r w:rsidR="000E54EE">
        <w:rPr>
          <w:rFonts w:ascii="Liberation Serif" w:hAnsi="Liberation Serif" w:cstheme="minorHAnsi"/>
          <w:b/>
          <w:bCs/>
          <w:i/>
          <w:sz w:val="24"/>
          <w:szCs w:val="24"/>
        </w:rPr>
        <w:t>3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92006C"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4576A2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41FFB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41FFB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68DA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информацию в соответствии с треб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ованиями п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</w:t>
      </w:r>
      <w:r w:rsidR="00997F7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3 ПП РФ 1875: </w:t>
      </w:r>
    </w:p>
    <w:p w14:paraId="19255A86" w14:textId="7071697D" w:rsidR="00997F7F" w:rsidRDefault="00997F7F" w:rsidP="00997F7F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для подтверждения происхождения программно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го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обеспечени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из Российской Федерации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 w:rsidR="00EF0674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российского программного обеспечения;</w:t>
      </w:r>
      <w:r w:rsidRPr="00997F7F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4683C580" w14:textId="49E8E51C" w:rsidR="00997F7F" w:rsidRPr="00282D3F" w:rsidRDefault="00997F7F" w:rsidP="00997F7F">
      <w:pPr>
        <w:jc w:val="both"/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</w:pP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lastRenderedPageBreak/>
        <w:t xml:space="preserve">для подтверждения происхождения программного обеспечения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из государств - членов Евразийского экономического союза, </w:t>
      </w:r>
      <w:r w:rsidRPr="0014407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за исключением Российской Федерации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 w:rsidR="00EF0674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еврази</w:t>
      </w:r>
      <w:r w:rsid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йского программного обеспечения.</w:t>
      </w:r>
    </w:p>
    <w:p w14:paraId="35C32297" w14:textId="415891AA" w:rsidR="0092006C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случае наличия противоречий</w:t>
      </w:r>
      <w:r w:rsidR="00AA4C61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141FFB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141FFB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="0092006C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265DCB2C" w14:textId="45D02684" w:rsidR="00847E2E" w:rsidRPr="00847E2E" w:rsidRDefault="00041CB6" w:rsidP="00847E2E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53663F">
        <w:rPr>
          <w:rFonts w:ascii="Liberation Serif" w:hAnsi="Liberation Serif" w:cstheme="minorHAnsi"/>
          <w:b/>
          <w:bCs/>
          <w:i/>
          <w:iCs/>
          <w:color w:val="FF0000"/>
          <w:sz w:val="28"/>
          <w:szCs w:val="28"/>
          <w:u w:val="single"/>
        </w:rPr>
        <w:t>Внимание!</w:t>
      </w:r>
      <w:r w:rsidRPr="009172E4">
        <w:rPr>
          <w:rFonts w:ascii="Liberation Serif" w:hAnsi="Liberation Serif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9172E4" w:rsidRPr="0053663F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Участнику закупки в заявке на участие в закупке путем </w:t>
      </w:r>
      <w:r w:rsidR="009172E4" w:rsidRPr="009172E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заполнения экранных форм веб-интерфейса электронной площадки </w:t>
      </w:r>
      <w:r w:rsidR="009172E4" w:rsidRPr="009172E4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9172E4" w:rsidRPr="009172E4">
        <w:rPr>
          <w:rFonts w:ascii="Liberation Serif" w:hAnsi="Liberation Serif" w:cstheme="minorHAnsi"/>
          <w:b/>
          <w:bCs/>
          <w:i/>
          <w:iCs/>
          <w:sz w:val="32"/>
          <w:szCs w:val="32"/>
          <w:highlight w:val="yellow"/>
          <w:u w:val="single"/>
        </w:rPr>
        <w:t>не надо</w:t>
      </w:r>
      <w:r w:rsidR="009172E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172E4" w:rsidRPr="00954870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заполнять блок «Соответствует дополнительным требованиям».</w:t>
      </w:r>
      <w:r w:rsidR="009172E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</w:p>
    <w:p w14:paraId="75218448" w14:textId="69F508F8" w:rsidR="0092006C" w:rsidRPr="00816970" w:rsidRDefault="00165A7B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65A7B"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пунктом 5 части 1 статьи 43 Федерального закона – в</w:t>
      </w:r>
      <w:r w:rsidR="007B395E"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</w:t>
      </w:r>
      <w:r w:rsidR="00C63710" w:rsidRPr="00165A7B">
        <w:rPr>
          <w:rFonts w:ascii="Liberation Serif" w:hAnsi="Liberation Serif" w:cstheme="minorHAnsi"/>
          <w:bCs/>
          <w:i/>
          <w:sz w:val="24"/>
          <w:szCs w:val="24"/>
        </w:rPr>
        <w:t>в заявке на участие в закупке</w:t>
      </w:r>
      <w:r w:rsidR="00816970"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порядкового номера реестровой записи из реестра российского программного обеспечения (для подтверждения происхождения программного обеспечения из Российской Федерации) ИЛИ порядкового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номер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>а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реестровой записи из реестра евразийского программного обеспечения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(для подтверждения происхождения программного обеспечения из государств - членов Евразийского экономического союза, за исключением Российской Федерации)  –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такая заявка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приравнивается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к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заявке, в которой содержится предложение о </w:t>
      </w:r>
      <w:r w:rsidR="00EF0674">
        <w:rPr>
          <w:rFonts w:ascii="Liberation Serif" w:hAnsi="Liberation Serif" w:cstheme="minorHAnsi"/>
          <w:bCs/>
          <w:i/>
          <w:sz w:val="24"/>
          <w:szCs w:val="24"/>
        </w:rPr>
        <w:t>программном обеспечении, происходящим из иностранного государства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. </w:t>
      </w:r>
    </w:p>
    <w:p w14:paraId="7832A14E" w14:textId="286C394A" w:rsidR="008665BF" w:rsidRDefault="00165A7B" w:rsidP="008665B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>подпункт</w:t>
      </w:r>
      <w:r>
        <w:rPr>
          <w:rFonts w:ascii="Liberation Serif" w:hAnsi="Liberation Serif" w:cstheme="minorHAnsi"/>
          <w:bCs/>
          <w:i/>
          <w:sz w:val="24"/>
          <w:szCs w:val="24"/>
        </w:rPr>
        <w:t>ом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«а» пункта 1 части 4 ст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атьи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14 Федерального закона </w:t>
      </w:r>
      <w:r>
        <w:rPr>
          <w:rFonts w:ascii="Liberation Serif" w:hAnsi="Liberation Serif" w:cstheme="minorHAnsi"/>
          <w:bCs/>
          <w:i/>
          <w:sz w:val="24"/>
          <w:szCs w:val="24"/>
        </w:rPr>
        <w:t>– з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</w:t>
      </w:r>
      <w:r w:rsidR="00EF0674">
        <w:rPr>
          <w:rFonts w:ascii="Liberation Serif" w:hAnsi="Liberation Serif" w:cstheme="minorHAnsi"/>
          <w:bCs/>
          <w:i/>
          <w:sz w:val="24"/>
          <w:szCs w:val="24"/>
        </w:rPr>
        <w:t xml:space="preserve">программном обеспечении, происходящим 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</w:t>
      </w:r>
      <w:r>
        <w:rPr>
          <w:rFonts w:ascii="Liberation Serif" w:hAnsi="Liberation Serif" w:cstheme="minorHAnsi"/>
          <w:bCs/>
          <w:i/>
          <w:sz w:val="24"/>
          <w:szCs w:val="24"/>
        </w:rPr>
        <w:t>тветствии с Федеральным законом.</w:t>
      </w:r>
    </w:p>
    <w:p w14:paraId="6665C662" w14:textId="77777777" w:rsidR="006A6176" w:rsidRPr="00CD7F93" w:rsidRDefault="006A6176" w:rsidP="006A61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697895B6" w14:textId="77777777" w:rsidR="006A6176" w:rsidRDefault="006A6176" w:rsidP="006A617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4E852EEB" w14:textId="77777777" w:rsidR="006A6176" w:rsidRDefault="006A6176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</w:p>
    <w:sectPr w:rsidR="006A617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30ADA"/>
    <w:multiLevelType w:val="hybridMultilevel"/>
    <w:tmpl w:val="E7E2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3A38"/>
    <w:rsid w:val="00024495"/>
    <w:rsid w:val="00024861"/>
    <w:rsid w:val="00041CB6"/>
    <w:rsid w:val="0006514C"/>
    <w:rsid w:val="00083549"/>
    <w:rsid w:val="000C181A"/>
    <w:rsid w:val="000C63EA"/>
    <w:rsid w:val="000D404D"/>
    <w:rsid w:val="000E0B39"/>
    <w:rsid w:val="000E54EE"/>
    <w:rsid w:val="00114820"/>
    <w:rsid w:val="0011525D"/>
    <w:rsid w:val="001247B5"/>
    <w:rsid w:val="00141FFB"/>
    <w:rsid w:val="00144075"/>
    <w:rsid w:val="0014600C"/>
    <w:rsid w:val="00151A3A"/>
    <w:rsid w:val="00155EC7"/>
    <w:rsid w:val="00165A7B"/>
    <w:rsid w:val="001B1FB1"/>
    <w:rsid w:val="001B368F"/>
    <w:rsid w:val="001E132E"/>
    <w:rsid w:val="001E1C41"/>
    <w:rsid w:val="001E5B6E"/>
    <w:rsid w:val="001E5C8A"/>
    <w:rsid w:val="001E73A7"/>
    <w:rsid w:val="001F52E5"/>
    <w:rsid w:val="00231BE3"/>
    <w:rsid w:val="0023288C"/>
    <w:rsid w:val="002431B1"/>
    <w:rsid w:val="0026704F"/>
    <w:rsid w:val="002713B0"/>
    <w:rsid w:val="00281A20"/>
    <w:rsid w:val="00282D3F"/>
    <w:rsid w:val="00287297"/>
    <w:rsid w:val="00295D23"/>
    <w:rsid w:val="002A34C2"/>
    <w:rsid w:val="002B3BD9"/>
    <w:rsid w:val="002C5175"/>
    <w:rsid w:val="002F2EB7"/>
    <w:rsid w:val="002F65CF"/>
    <w:rsid w:val="00317C8B"/>
    <w:rsid w:val="0033603C"/>
    <w:rsid w:val="003406BC"/>
    <w:rsid w:val="00357B08"/>
    <w:rsid w:val="00383105"/>
    <w:rsid w:val="003B53DB"/>
    <w:rsid w:val="003B57AF"/>
    <w:rsid w:val="003F1189"/>
    <w:rsid w:val="00412510"/>
    <w:rsid w:val="004125BF"/>
    <w:rsid w:val="00422433"/>
    <w:rsid w:val="00426B07"/>
    <w:rsid w:val="00437009"/>
    <w:rsid w:val="00442E9D"/>
    <w:rsid w:val="0045563C"/>
    <w:rsid w:val="004576A2"/>
    <w:rsid w:val="004710A7"/>
    <w:rsid w:val="004733D2"/>
    <w:rsid w:val="00484029"/>
    <w:rsid w:val="00485DD8"/>
    <w:rsid w:val="004A2FEE"/>
    <w:rsid w:val="004C0BC1"/>
    <w:rsid w:val="004D0409"/>
    <w:rsid w:val="004E5C92"/>
    <w:rsid w:val="00522AF7"/>
    <w:rsid w:val="0053663F"/>
    <w:rsid w:val="005854E8"/>
    <w:rsid w:val="005F0B9A"/>
    <w:rsid w:val="00600BE8"/>
    <w:rsid w:val="006200EE"/>
    <w:rsid w:val="00627F6A"/>
    <w:rsid w:val="00630424"/>
    <w:rsid w:val="006611A8"/>
    <w:rsid w:val="0069419F"/>
    <w:rsid w:val="006A6176"/>
    <w:rsid w:val="006B763B"/>
    <w:rsid w:val="006D423F"/>
    <w:rsid w:val="00701D32"/>
    <w:rsid w:val="007149E0"/>
    <w:rsid w:val="00783D01"/>
    <w:rsid w:val="007B395E"/>
    <w:rsid w:val="007C68DA"/>
    <w:rsid w:val="008133E4"/>
    <w:rsid w:val="00814AEF"/>
    <w:rsid w:val="00816970"/>
    <w:rsid w:val="00822959"/>
    <w:rsid w:val="00847E2E"/>
    <w:rsid w:val="00851396"/>
    <w:rsid w:val="00852D30"/>
    <w:rsid w:val="008665BF"/>
    <w:rsid w:val="00867ECB"/>
    <w:rsid w:val="00871286"/>
    <w:rsid w:val="00872AA4"/>
    <w:rsid w:val="008841B1"/>
    <w:rsid w:val="00894A53"/>
    <w:rsid w:val="008A6169"/>
    <w:rsid w:val="008C12C1"/>
    <w:rsid w:val="008C14FB"/>
    <w:rsid w:val="008D791E"/>
    <w:rsid w:val="008E31C2"/>
    <w:rsid w:val="008F0208"/>
    <w:rsid w:val="009172E4"/>
    <w:rsid w:val="0092006C"/>
    <w:rsid w:val="00940E19"/>
    <w:rsid w:val="00943870"/>
    <w:rsid w:val="00954870"/>
    <w:rsid w:val="00986E5A"/>
    <w:rsid w:val="00997F7F"/>
    <w:rsid w:val="009D1FCD"/>
    <w:rsid w:val="009D276C"/>
    <w:rsid w:val="009F4423"/>
    <w:rsid w:val="00A20CF3"/>
    <w:rsid w:val="00A22F0A"/>
    <w:rsid w:val="00A32F41"/>
    <w:rsid w:val="00A53CB7"/>
    <w:rsid w:val="00AA1FBE"/>
    <w:rsid w:val="00AA4C61"/>
    <w:rsid w:val="00AB6AB2"/>
    <w:rsid w:val="00B074C1"/>
    <w:rsid w:val="00B20992"/>
    <w:rsid w:val="00B2573D"/>
    <w:rsid w:val="00B2657E"/>
    <w:rsid w:val="00B57B1F"/>
    <w:rsid w:val="00B95D8A"/>
    <w:rsid w:val="00BD15B5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F6C3C"/>
    <w:rsid w:val="00D211BA"/>
    <w:rsid w:val="00D402B8"/>
    <w:rsid w:val="00D4104F"/>
    <w:rsid w:val="00D67581"/>
    <w:rsid w:val="00D757C9"/>
    <w:rsid w:val="00D856E8"/>
    <w:rsid w:val="00DA057A"/>
    <w:rsid w:val="00DA147D"/>
    <w:rsid w:val="00DC45E6"/>
    <w:rsid w:val="00DF0805"/>
    <w:rsid w:val="00DF3633"/>
    <w:rsid w:val="00DF7802"/>
    <w:rsid w:val="00E13012"/>
    <w:rsid w:val="00E20C2C"/>
    <w:rsid w:val="00E232F4"/>
    <w:rsid w:val="00E30993"/>
    <w:rsid w:val="00E909AA"/>
    <w:rsid w:val="00EB0D71"/>
    <w:rsid w:val="00EB118A"/>
    <w:rsid w:val="00ED4BAD"/>
    <w:rsid w:val="00EF0674"/>
    <w:rsid w:val="00F077F3"/>
    <w:rsid w:val="00F121A8"/>
    <w:rsid w:val="00F652B3"/>
    <w:rsid w:val="00F71BE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00340" TargetMode="External"/><Relationship Id="rId13" Type="http://schemas.openxmlformats.org/officeDocument/2006/relationships/hyperlink" Target="https://www.consultant.ru/document/cons_doc_LAW_466154/c360930e35e7953c74744ed45738094d9503d732/" TargetMode="External"/><Relationship Id="rId18" Type="http://schemas.openxmlformats.org/officeDocument/2006/relationships/hyperlink" Target="https://login.consultant.ru/link/?req=doc&amp;base=LAW&amp;n=494318&amp;dst=100725" TargetMode="External"/><Relationship Id="rId26" Type="http://schemas.openxmlformats.org/officeDocument/2006/relationships/hyperlink" Target="https://login.consultant.ru/link/?req=doc&amp;base=LAW&amp;n=495181&amp;dst=1003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1290&amp;dst=100017" TargetMode="External"/><Relationship Id="rId7" Type="http://schemas.openxmlformats.org/officeDocument/2006/relationships/hyperlink" Target="https://login.consultant.ru/link/?req=doc&amp;base=LAW&amp;n=495181&amp;dst=100338" TargetMode="External"/><Relationship Id="rId12" Type="http://schemas.openxmlformats.org/officeDocument/2006/relationships/hyperlink" Target="https://login.consultant.ru/link/?req=doc&amp;base=LAW&amp;n=495181&amp;dst=100336" TargetMode="External"/><Relationship Id="rId17" Type="http://schemas.openxmlformats.org/officeDocument/2006/relationships/hyperlink" Target="https://login.consultant.ru/link/?req=doc&amp;base=LAW&amp;n=301290&amp;dst=100017" TargetMode="External"/><Relationship Id="rId25" Type="http://schemas.openxmlformats.org/officeDocument/2006/relationships/hyperlink" Target="https://login.consultant.ru/link/?req=doc&amp;base=LAW&amp;n=495181&amp;dst=4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01290&amp;dst=100017" TargetMode="External"/><Relationship Id="rId20" Type="http://schemas.openxmlformats.org/officeDocument/2006/relationships/hyperlink" Target="https://login.consultant.ru/link/?req=doc&amp;base=LAW&amp;n=301290&amp;dst=100017" TargetMode="External"/><Relationship Id="rId29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495181&amp;dst=29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318&amp;dst=100725" TargetMode="External"/><Relationship Id="rId23" Type="http://schemas.openxmlformats.org/officeDocument/2006/relationships/hyperlink" Target="https://login.consultant.ru/link/?req=doc&amp;base=LAW&amp;n=495181&amp;dst=100340" TargetMode="External"/><Relationship Id="rId28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0" Type="http://schemas.openxmlformats.org/officeDocument/2006/relationships/hyperlink" Target="https://login.consultant.ru/link/?req=doc&amp;base=LAW&amp;n=495181&amp;dst=419" TargetMode="External"/><Relationship Id="rId19" Type="http://schemas.openxmlformats.org/officeDocument/2006/relationships/hyperlink" Target="https://login.consultant.ru/link/?req=doc&amp;base=LAW&amp;n=494318&amp;dst=10072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81&amp;dst=296" TargetMode="External"/><Relationship Id="rId14" Type="http://schemas.openxmlformats.org/officeDocument/2006/relationships/hyperlink" Target="https://login.consultant.ru/link/?req=doc&amp;base=LAW&amp;n=494318&amp;dst=100725" TargetMode="External"/><Relationship Id="rId22" Type="http://schemas.openxmlformats.org/officeDocument/2006/relationships/hyperlink" Target="https://login.consultant.ru/link/?req=doc&amp;base=LAW&amp;n=495181&amp;dst=100338" TargetMode="External"/><Relationship Id="rId27" Type="http://schemas.openxmlformats.org/officeDocument/2006/relationships/hyperlink" Target="https://login.consultant.ru/link/?req=doc&amp;base=LAW&amp;n=495181&amp;dst=100336" TargetMode="External"/><Relationship Id="rId30" Type="http://schemas.openxmlformats.org/officeDocument/2006/relationships/hyperlink" Target="consultantplus://offline/ref=549C0E4A41619E2539527DF37D3BCADC4658BF3EDC5BADB4685EF56FFB55101D9C23DD95246059F6E13F452E284410CACA2360AE4C3Fe8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56B7-F050-4C3B-B708-14A01CAC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6</cp:revision>
  <dcterms:created xsi:type="dcterms:W3CDTF">2026-01-21T07:00:00Z</dcterms:created>
  <dcterms:modified xsi:type="dcterms:W3CDTF">2026-01-27T05:19:00Z</dcterms:modified>
</cp:coreProperties>
</file>