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51A" w:rsidRDefault="006C651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6C651A" w:rsidRDefault="006C651A">
      <w:pPr>
        <w:pStyle w:val="ConsPlusNormal"/>
        <w:outlineLvl w:val="0"/>
      </w:pPr>
    </w:p>
    <w:p w:rsidR="006C651A" w:rsidRDefault="006C651A">
      <w:pPr>
        <w:pStyle w:val="ConsPlusTitle"/>
        <w:jc w:val="center"/>
        <w:outlineLvl w:val="0"/>
      </w:pPr>
      <w:r>
        <w:t>АДМИНИСТРАЦИЯ ГОРОДА НИЖНИЙ ТАГИЛ</w:t>
      </w:r>
    </w:p>
    <w:p w:rsidR="006C651A" w:rsidRDefault="006C651A">
      <w:pPr>
        <w:pStyle w:val="ConsPlusTitle"/>
        <w:jc w:val="center"/>
      </w:pPr>
    </w:p>
    <w:p w:rsidR="006C651A" w:rsidRDefault="006C651A">
      <w:pPr>
        <w:pStyle w:val="ConsPlusTitle"/>
        <w:jc w:val="center"/>
      </w:pPr>
      <w:r>
        <w:t>ПОСТАНОВЛЕНИЕ</w:t>
      </w:r>
    </w:p>
    <w:p w:rsidR="006C651A" w:rsidRDefault="006C651A">
      <w:pPr>
        <w:pStyle w:val="ConsPlusTitle"/>
        <w:jc w:val="center"/>
      </w:pPr>
      <w:r>
        <w:t>от 20 февраля 2020 г. N 326-ПА</w:t>
      </w:r>
    </w:p>
    <w:p w:rsidR="006C651A" w:rsidRDefault="006C651A">
      <w:pPr>
        <w:pStyle w:val="ConsPlusTitle"/>
        <w:jc w:val="center"/>
      </w:pPr>
    </w:p>
    <w:p w:rsidR="006C651A" w:rsidRDefault="006C651A">
      <w:pPr>
        <w:pStyle w:val="ConsPlusTitle"/>
        <w:jc w:val="center"/>
      </w:pPr>
      <w:r>
        <w:t>О МЕРАХ ПО ОБЕСПЕЧЕНИЮ ИСПОЛНЕНИЯ</w:t>
      </w:r>
    </w:p>
    <w:p w:rsidR="006C651A" w:rsidRDefault="006C651A">
      <w:pPr>
        <w:pStyle w:val="ConsPlusTitle"/>
        <w:jc w:val="center"/>
      </w:pPr>
      <w:r>
        <w:t>БЮДЖЕТА ГОРОДА НИЖНИЙ ТАГИЛ</w:t>
      </w:r>
    </w:p>
    <w:p w:rsidR="006C651A" w:rsidRDefault="006C651A">
      <w:pPr>
        <w:pStyle w:val="ConsPlusNormal"/>
      </w:pPr>
    </w:p>
    <w:p w:rsidR="006C651A" w:rsidRDefault="006C651A">
      <w:pPr>
        <w:pStyle w:val="ConsPlusNormal"/>
        <w:ind w:firstLine="540"/>
        <w:jc w:val="both"/>
      </w:pPr>
      <w:r>
        <w:t xml:space="preserve">В соответствии со </w:t>
      </w:r>
      <w:hyperlink r:id="rId6" w:history="1">
        <w:r>
          <w:rPr>
            <w:color w:val="0000FF"/>
          </w:rPr>
          <w:t>статьей 9</w:t>
        </w:r>
      </w:hyperlink>
      <w:r>
        <w:t xml:space="preserve"> Бюджетного кодекса Российской Федерации, в целях реализации бюджетных полномочий муниципального образования, руководствуясь </w:t>
      </w:r>
      <w:hyperlink r:id="rId7" w:history="1">
        <w:r>
          <w:rPr>
            <w:color w:val="0000FF"/>
          </w:rPr>
          <w:t>Уставом</w:t>
        </w:r>
      </w:hyperlink>
      <w:r>
        <w:t xml:space="preserve"> города Нижний Тагил, Администрация города Нижний Тагил постановляет:</w:t>
      </w:r>
    </w:p>
    <w:p w:rsidR="006C651A" w:rsidRDefault="006C651A">
      <w:pPr>
        <w:pStyle w:val="ConsPlusNormal"/>
        <w:spacing w:before="280"/>
        <w:ind w:firstLine="540"/>
        <w:jc w:val="both"/>
      </w:pPr>
      <w:r>
        <w:t xml:space="preserve">1. </w:t>
      </w:r>
      <w:proofErr w:type="gramStart"/>
      <w:r>
        <w:t>Установить, что получатели средств бюджета города, бюджетные и автономные учреждения, осуществляющие закупки за счет субсидий, предоставленных из бюджета города, при заключении договоров (муниципальных контрактов) на поставку товаров, выполнение работ, оказание услуг вправе предусматривать авансовые платежи в размере до 100% суммы договора (муниципального контракта), но не более лимитов бюджетных обязательств по соответствующему коду бюджетной классификации Российской Федерации, доведенных на соответствующий финансовый</w:t>
      </w:r>
      <w:proofErr w:type="gramEnd"/>
      <w:r>
        <w:t xml:space="preserve"> год, - по договорам (муниципальным контрактам) </w:t>
      </w:r>
      <w:proofErr w:type="gramStart"/>
      <w:r>
        <w:t>на</w:t>
      </w:r>
      <w:proofErr w:type="gramEnd"/>
      <w:r>
        <w:t>:</w:t>
      </w:r>
    </w:p>
    <w:p w:rsidR="006C651A" w:rsidRDefault="006C651A">
      <w:pPr>
        <w:pStyle w:val="ConsPlusNormal"/>
        <w:spacing w:before="280"/>
        <w:ind w:firstLine="540"/>
        <w:jc w:val="both"/>
      </w:pPr>
      <w:r>
        <w:t>- оказание услуг связи;</w:t>
      </w:r>
    </w:p>
    <w:p w:rsidR="006C651A" w:rsidRDefault="006C651A">
      <w:pPr>
        <w:pStyle w:val="ConsPlusNormal"/>
        <w:spacing w:before="280"/>
        <w:ind w:firstLine="540"/>
        <w:jc w:val="both"/>
      </w:pPr>
      <w:r>
        <w:t>- подписку на печатные издания и их приобретение;</w:t>
      </w:r>
    </w:p>
    <w:p w:rsidR="006C651A" w:rsidRDefault="006C651A">
      <w:pPr>
        <w:pStyle w:val="ConsPlusNormal"/>
        <w:spacing w:before="280"/>
        <w:ind w:firstLine="540"/>
        <w:jc w:val="both"/>
      </w:pPr>
      <w:r>
        <w:t xml:space="preserve">- </w:t>
      </w:r>
      <w:proofErr w:type="gramStart"/>
      <w:r>
        <w:t>обучение по программам</w:t>
      </w:r>
      <w:proofErr w:type="gramEnd"/>
      <w:r>
        <w:t xml:space="preserve"> профессиональной переподготовки, повышения квалификации и стажировки;</w:t>
      </w:r>
    </w:p>
    <w:p w:rsidR="006C651A" w:rsidRDefault="006C651A">
      <w:pPr>
        <w:pStyle w:val="ConsPlusNormal"/>
        <w:spacing w:before="280"/>
        <w:ind w:firstLine="540"/>
        <w:jc w:val="both"/>
      </w:pPr>
      <w:r>
        <w:t>- участие в научных, методических, научно-практических и иных конференциях;</w:t>
      </w:r>
    </w:p>
    <w:p w:rsidR="006C651A" w:rsidRDefault="006C651A">
      <w:pPr>
        <w:pStyle w:val="ConsPlusNormal"/>
        <w:spacing w:before="280"/>
        <w:ind w:firstLine="540"/>
        <w:jc w:val="both"/>
      </w:pPr>
      <w:r>
        <w:t>- приобретение ави</w:t>
      </w:r>
      <w:proofErr w:type="gramStart"/>
      <w:r>
        <w:t>а-</w:t>
      </w:r>
      <w:proofErr w:type="gramEnd"/>
      <w:r>
        <w:t xml:space="preserve"> и железнодорожных билетов, билетов для проезда городским и пригородным транспортом;</w:t>
      </w:r>
    </w:p>
    <w:p w:rsidR="006C651A" w:rsidRDefault="006C651A">
      <w:pPr>
        <w:pStyle w:val="ConsPlusNormal"/>
        <w:spacing w:before="280"/>
        <w:ind w:firstLine="540"/>
        <w:jc w:val="both"/>
      </w:pPr>
      <w:r>
        <w:t>- приобретение путевок на санаторно-курортное лечение;</w:t>
      </w:r>
    </w:p>
    <w:p w:rsidR="006C651A" w:rsidRDefault="006C651A">
      <w:pPr>
        <w:pStyle w:val="ConsPlusNormal"/>
        <w:spacing w:before="280"/>
        <w:ind w:firstLine="540"/>
        <w:jc w:val="both"/>
      </w:pPr>
      <w:r>
        <w:t>- обязательное страхование гражданской ответственности владельцев автотранспортных средств;</w:t>
      </w:r>
    </w:p>
    <w:p w:rsidR="006C651A" w:rsidRDefault="006C651A">
      <w:pPr>
        <w:pStyle w:val="ConsPlusNormal"/>
        <w:spacing w:before="280"/>
        <w:ind w:firstLine="540"/>
        <w:jc w:val="both"/>
      </w:pPr>
      <w:r>
        <w:t>- проведение мероприятий по тушению пожаров;</w:t>
      </w:r>
    </w:p>
    <w:p w:rsidR="006C651A" w:rsidRDefault="006C651A">
      <w:pPr>
        <w:pStyle w:val="ConsPlusNormal"/>
        <w:spacing w:before="280"/>
        <w:ind w:firstLine="540"/>
        <w:jc w:val="both"/>
      </w:pPr>
      <w:r>
        <w:t>- оплату электрической энергии;</w:t>
      </w:r>
    </w:p>
    <w:p w:rsidR="006C651A" w:rsidRDefault="006C651A">
      <w:pPr>
        <w:pStyle w:val="ConsPlusNormal"/>
        <w:spacing w:before="280"/>
        <w:ind w:firstLine="540"/>
        <w:jc w:val="both"/>
      </w:pPr>
      <w:r>
        <w:lastRenderedPageBreak/>
        <w:t>- приобретение горюче-смазочных материалов при заключении контракта с единственным поставщиком;</w:t>
      </w:r>
    </w:p>
    <w:p w:rsidR="006C651A" w:rsidRDefault="006C651A">
      <w:pPr>
        <w:pStyle w:val="ConsPlusNormal"/>
        <w:spacing w:before="280"/>
        <w:ind w:firstLine="540"/>
        <w:jc w:val="both"/>
      </w:pPr>
      <w:r>
        <w:t>- проведение экспертизы и экспертных исследований;</w:t>
      </w:r>
    </w:p>
    <w:p w:rsidR="006C651A" w:rsidRDefault="006C651A">
      <w:pPr>
        <w:pStyle w:val="ConsPlusNormal"/>
        <w:spacing w:before="280"/>
        <w:ind w:firstLine="540"/>
        <w:jc w:val="both"/>
      </w:pPr>
      <w:r>
        <w:t>- техническое присоединение к сетям тепл</w:t>
      </w:r>
      <w:proofErr w:type="gramStart"/>
      <w:r>
        <w:t>о-</w:t>
      </w:r>
      <w:proofErr w:type="gramEnd"/>
      <w:r>
        <w:t>, водо-, электро- и газоснабжения;</w:t>
      </w:r>
    </w:p>
    <w:p w:rsidR="006C651A" w:rsidRDefault="006C651A">
      <w:pPr>
        <w:pStyle w:val="ConsPlusNormal"/>
        <w:spacing w:before="280"/>
        <w:ind w:firstLine="540"/>
        <w:jc w:val="both"/>
      </w:pPr>
      <w:r>
        <w:t>- проведение лабораторных исследований, лабораторного контроля и инженерных изысканий;</w:t>
      </w:r>
    </w:p>
    <w:p w:rsidR="006C651A" w:rsidRDefault="006C651A">
      <w:pPr>
        <w:pStyle w:val="ConsPlusNormal"/>
        <w:spacing w:before="280"/>
        <w:ind w:firstLine="540"/>
        <w:jc w:val="both"/>
      </w:pPr>
      <w:r>
        <w:t>- предоставление права использования программных продуктов;</w:t>
      </w:r>
    </w:p>
    <w:p w:rsidR="006C651A" w:rsidRDefault="006C651A">
      <w:pPr>
        <w:pStyle w:val="ConsPlusNormal"/>
        <w:spacing w:before="280"/>
        <w:ind w:firstLine="540"/>
        <w:jc w:val="both"/>
      </w:pPr>
      <w:r>
        <w:t>- оформление электронно-цифровой подписи;</w:t>
      </w:r>
    </w:p>
    <w:p w:rsidR="006C651A" w:rsidRDefault="006C651A">
      <w:pPr>
        <w:pStyle w:val="ConsPlusNormal"/>
        <w:spacing w:before="280"/>
        <w:ind w:firstLine="540"/>
        <w:jc w:val="both"/>
      </w:pPr>
      <w:r>
        <w:t>- оплату услуг по подготовке и предоставлению специализированной гидрометеорологической информации;</w:t>
      </w:r>
    </w:p>
    <w:p w:rsidR="006C651A" w:rsidRDefault="006C651A">
      <w:pPr>
        <w:pStyle w:val="ConsPlusNormal"/>
        <w:spacing w:before="280"/>
        <w:ind w:firstLine="540"/>
        <w:jc w:val="both"/>
      </w:pPr>
      <w:r>
        <w:t>- оплату вступительных взносов, взносов в компенсационный фонд и членских взносов в саморегулируемых организациях;</w:t>
      </w:r>
    </w:p>
    <w:p w:rsidR="006C651A" w:rsidRDefault="006C651A">
      <w:pPr>
        <w:pStyle w:val="ConsPlusNormal"/>
        <w:spacing w:before="280"/>
        <w:ind w:firstLine="540"/>
        <w:jc w:val="both"/>
      </w:pPr>
      <w:r>
        <w:t>- предоставление статистической информации;</w:t>
      </w:r>
    </w:p>
    <w:p w:rsidR="006C651A" w:rsidRDefault="006C651A">
      <w:pPr>
        <w:pStyle w:val="ConsPlusNormal"/>
        <w:spacing w:before="280"/>
        <w:ind w:firstLine="540"/>
        <w:jc w:val="both"/>
      </w:pPr>
      <w:r>
        <w:t>- оплату услуг бронирования номеров (мест в номерах) в гостиницах во время служебных командировок;</w:t>
      </w:r>
    </w:p>
    <w:p w:rsidR="006C651A" w:rsidRDefault="006C651A">
      <w:pPr>
        <w:pStyle w:val="ConsPlusNormal"/>
        <w:spacing w:before="280"/>
        <w:ind w:firstLine="540"/>
        <w:jc w:val="both"/>
      </w:pPr>
      <w:r>
        <w:t>- оплату услуг по организации проведения тренировочных мероприятий на специализированных и комплексных спортивных базах, организациях санаторно-курортного типа.</w:t>
      </w:r>
    </w:p>
    <w:p w:rsidR="006C651A" w:rsidRDefault="006C651A">
      <w:pPr>
        <w:pStyle w:val="ConsPlusNormal"/>
        <w:spacing w:before="280"/>
        <w:ind w:firstLine="540"/>
        <w:jc w:val="both"/>
      </w:pPr>
      <w:r>
        <w:t xml:space="preserve">2. </w:t>
      </w:r>
      <w:proofErr w:type="gramStart"/>
      <w:r>
        <w:t>Бюджетные ассигнования на осуществление расходов бюджета города на проведение ремонтных работ, осуществление капитальных вложений подлежат перераспределению в соответствии с бюджетным законодательством Российской Федерации на иные направления расходов бюджета, в том числе на финансовое обеспечение ремонтных работ других объектов и объектов капитального строительства в случае отсутствия по состоянию на 1 июля текущего финансового года утвержденной в установленном законодательством Российской Федерации порядке</w:t>
      </w:r>
      <w:proofErr w:type="gramEnd"/>
      <w:r>
        <w:t xml:space="preserve"> проектно-сметной документации на проведение данных работ.</w:t>
      </w:r>
    </w:p>
    <w:p w:rsidR="006C651A" w:rsidRDefault="006C651A">
      <w:pPr>
        <w:pStyle w:val="ConsPlusNormal"/>
        <w:spacing w:before="280"/>
        <w:ind w:firstLine="540"/>
        <w:jc w:val="both"/>
      </w:pPr>
      <w:r>
        <w:t>3. Муниципальным бюджетным и казенным учреждениям:</w:t>
      </w:r>
    </w:p>
    <w:p w:rsidR="006C651A" w:rsidRDefault="006C651A">
      <w:pPr>
        <w:pStyle w:val="ConsPlusNormal"/>
        <w:spacing w:before="280"/>
        <w:ind w:firstLine="540"/>
        <w:jc w:val="both"/>
      </w:pPr>
      <w:r>
        <w:t xml:space="preserve">1) осуществлять закупки товаров, работ, услуг у субъектов малого предпринимательства, социально ориентированных некоммерческих организаций в объеме, установленном </w:t>
      </w:r>
      <w:hyperlink r:id="rId8" w:history="1">
        <w:r>
          <w:rPr>
            <w:color w:val="0000FF"/>
          </w:rPr>
          <w:t>частью 1 статьи 30</w:t>
        </w:r>
      </w:hyperlink>
      <w:r>
        <w:t xml:space="preserve"> Федерального закона от 5 апреля 2013 года N 44-ФЗ "О контрактной системе в сфере </w:t>
      </w:r>
      <w:r>
        <w:lastRenderedPageBreak/>
        <w:t>закупок товаров, работ, услуг для обеспечения государственных и муниципальных нужд";</w:t>
      </w:r>
    </w:p>
    <w:p w:rsidR="006C651A" w:rsidRDefault="006C651A">
      <w:pPr>
        <w:pStyle w:val="ConsPlusNormal"/>
        <w:spacing w:before="280"/>
        <w:ind w:firstLine="540"/>
        <w:jc w:val="both"/>
      </w:pPr>
      <w:r>
        <w:t>2) в целях повышения эффективности расходования бюджетных средств осуществлять закупки преимущественно конкурентными способами определения поставщика (подрядчика, исполнителя). Осуществление закупок у единственного поставщика (подрядчика, исполнителя) производить в случае невозможности либо нецелесообразности применения конкурентных способов определения поставщика (подрядчика, исполнителя). При этом:</w:t>
      </w:r>
    </w:p>
    <w:p w:rsidR="006C651A" w:rsidRDefault="006C651A">
      <w:pPr>
        <w:pStyle w:val="ConsPlusNormal"/>
        <w:spacing w:before="280"/>
        <w:ind w:firstLine="540"/>
        <w:jc w:val="both"/>
      </w:pPr>
      <w:r>
        <w:t>- контракт (договор) заключается по минимальному ценовому предложению, полученному заказчиком из источников ценовой информации на весь объем закупки;</w:t>
      </w:r>
    </w:p>
    <w:p w:rsidR="006C651A" w:rsidRDefault="006C651A">
      <w:pPr>
        <w:pStyle w:val="ConsPlusNormal"/>
        <w:spacing w:before="280"/>
        <w:ind w:firstLine="540"/>
        <w:jc w:val="both"/>
      </w:pPr>
      <w:r>
        <w:t>- заказчик готовит обоснование невозможности либо нецелесообразности применения конкурентных способов определения поставщика (подрядчика, исполнителя);</w:t>
      </w:r>
    </w:p>
    <w:p w:rsidR="006C651A" w:rsidRDefault="006C651A">
      <w:pPr>
        <w:pStyle w:val="ConsPlusNormal"/>
        <w:spacing w:before="280"/>
        <w:ind w:firstLine="540"/>
        <w:jc w:val="both"/>
      </w:pPr>
      <w:r>
        <w:t>3) размещать документацию о проведении закупок на текущий финансовый год в единой информационной системе в сфере закупок не позднее 1 октября текущего года или последнего рабочего дня до указанной даты;</w:t>
      </w:r>
    </w:p>
    <w:p w:rsidR="006C651A" w:rsidRDefault="006C651A">
      <w:pPr>
        <w:pStyle w:val="ConsPlusNormal"/>
        <w:spacing w:before="280"/>
        <w:ind w:firstLine="540"/>
        <w:jc w:val="both"/>
      </w:pPr>
      <w:r>
        <w:t>4) завершить расчеты по контрактам (договорам) на поставку товаров, выполнение работ, оказание услуг не позднее 25 декабря текущего года.</w:t>
      </w:r>
    </w:p>
    <w:p w:rsidR="006C651A" w:rsidRDefault="006C651A">
      <w:pPr>
        <w:pStyle w:val="ConsPlusNormal"/>
        <w:spacing w:before="280"/>
        <w:ind w:firstLine="540"/>
        <w:jc w:val="both"/>
      </w:pPr>
      <w:r>
        <w:t>4. Экономия бюджетных средств, образовавшаяся по итогам проведенных конкурентных способов определения поставщика (подрядчика, исполнителя), резервируется Финансовым управлением Администрации города до момента принятия решения Главой города на основании обоснований, предварительно согласованных профильными заместителями Главы Администрации города и заместителем Главы Администрации города по финансово-экономической политике.</w:t>
      </w:r>
    </w:p>
    <w:p w:rsidR="006C651A" w:rsidRDefault="006C651A">
      <w:pPr>
        <w:pStyle w:val="ConsPlusNormal"/>
        <w:spacing w:before="280"/>
        <w:ind w:firstLine="540"/>
        <w:jc w:val="both"/>
      </w:pPr>
      <w:r>
        <w:t xml:space="preserve">5. Главным распорядителям бюджетных средств ежеквартально проводить анализ планов-графиков закупок подведомственных им учреждений на предмет наличия закупок, указанных в обязательном </w:t>
      </w:r>
      <w:hyperlink w:anchor="P67" w:history="1">
        <w:r>
          <w:rPr>
            <w:color w:val="0000FF"/>
          </w:rPr>
          <w:t>перечне</w:t>
        </w:r>
      </w:hyperlink>
      <w:r>
        <w:t xml:space="preserve"> согласно приложению. В случае выявления таких закупок осуществлять организацию проведения совместных конкурсов и аукционов (приложение).</w:t>
      </w:r>
    </w:p>
    <w:p w:rsidR="006C651A" w:rsidRDefault="006C651A">
      <w:pPr>
        <w:pStyle w:val="ConsPlusNormal"/>
        <w:spacing w:before="280"/>
        <w:ind w:firstLine="540"/>
        <w:jc w:val="both"/>
      </w:pPr>
      <w:r>
        <w:t>6. Отраслевым (функциональным) и территориальным органам Администрации города, муниципальным казенным, бюджетным и автономным учреждениям:</w:t>
      </w:r>
    </w:p>
    <w:p w:rsidR="006C651A" w:rsidRDefault="006C651A">
      <w:pPr>
        <w:pStyle w:val="ConsPlusNormal"/>
        <w:spacing w:before="280"/>
        <w:ind w:firstLine="540"/>
        <w:jc w:val="both"/>
      </w:pPr>
      <w:proofErr w:type="gramStart"/>
      <w:r>
        <w:t xml:space="preserve">1) не допускать увеличения численности работников (муниципальных служащих) и (или) изменения категорий и (или) групп должностей, </w:t>
      </w:r>
      <w:r>
        <w:lastRenderedPageBreak/>
        <w:t>приводящих к увеличению расходов на оплату труда сверх утвержденных бюджетных ассигнований, за исключением случаев принятия решений по передаче отдельных государственных полномочий на уровень муниципального образования, установить оптимальное соотношение должностей руководителей и специалистов, устранить дублирующие функции работников органов местного самоуправления;</w:t>
      </w:r>
      <w:proofErr w:type="gramEnd"/>
    </w:p>
    <w:p w:rsidR="006C651A" w:rsidRDefault="006C651A">
      <w:pPr>
        <w:pStyle w:val="ConsPlusNormal"/>
        <w:spacing w:before="280"/>
        <w:ind w:firstLine="540"/>
        <w:jc w:val="both"/>
      </w:pPr>
      <w:r>
        <w:t>2) рассмотреть возможность передачи полномочий (функций) по предоставлению муниципальных услуг в многофункциональные центры, а функций по обслуживанию зданий, автотранспорта и материально-техническому обеспечению органов местного самоуправления на исполнение в муниципальные специализированные учреждения;</w:t>
      </w:r>
    </w:p>
    <w:p w:rsidR="006C651A" w:rsidRDefault="006C651A">
      <w:pPr>
        <w:pStyle w:val="ConsPlusNormal"/>
        <w:spacing w:before="280"/>
        <w:ind w:firstLine="540"/>
        <w:jc w:val="both"/>
      </w:pPr>
      <w:r>
        <w:t>3) осуществлять выплаты работникам (муниципальным служащим) единовременной поощрительной премии, материальной помощи в случаях, установленных муниципальными нормативными правовыми актами, при наличии экономии фонда оплаты труда, отсутствии кредиторской задолженности и по согласованию с курирующим заместителем Главы Администрации города;</w:t>
      </w:r>
    </w:p>
    <w:p w:rsidR="006C651A" w:rsidRDefault="006C651A">
      <w:pPr>
        <w:pStyle w:val="ConsPlusNormal"/>
        <w:spacing w:before="280"/>
        <w:ind w:firstLine="540"/>
        <w:jc w:val="both"/>
      </w:pPr>
      <w:r>
        <w:t>4) при принятии решения по изменению штатных расписаний муниципальных учреждений в текущем финансовом году, обеспечить их согласование с заместителем Главы Администрации города по финансово-экономической политике, с приложением расчетов и обоснований.</w:t>
      </w:r>
    </w:p>
    <w:p w:rsidR="006C651A" w:rsidRDefault="006C651A">
      <w:pPr>
        <w:pStyle w:val="ConsPlusNormal"/>
        <w:spacing w:before="280"/>
        <w:ind w:firstLine="540"/>
        <w:jc w:val="both"/>
      </w:pPr>
      <w:r>
        <w:t>7. В целях обеспечения результативности и эффективности использования бюджетных средств:</w:t>
      </w:r>
    </w:p>
    <w:p w:rsidR="006C651A" w:rsidRDefault="006C651A">
      <w:pPr>
        <w:pStyle w:val="ConsPlusNormal"/>
        <w:spacing w:before="280"/>
        <w:ind w:firstLine="540"/>
        <w:jc w:val="both"/>
      </w:pPr>
      <w:r>
        <w:t>1) главным распорядителям бюджетных средств и органам, осуществляющим функции и полномочия учредителей усилить контроль за использованием бюджетных сре</w:t>
      </w:r>
      <w:proofErr w:type="gramStart"/>
      <w:r>
        <w:t>дств с ц</w:t>
      </w:r>
      <w:proofErr w:type="gramEnd"/>
      <w:r>
        <w:t>елью снижения неэффективных расходов от уплаты штрафов, пеней;</w:t>
      </w:r>
    </w:p>
    <w:p w:rsidR="006C651A" w:rsidRDefault="006C651A">
      <w:pPr>
        <w:pStyle w:val="ConsPlusNormal"/>
        <w:spacing w:before="280"/>
        <w:ind w:firstLine="540"/>
        <w:jc w:val="both"/>
      </w:pPr>
      <w:r>
        <w:t>2) руководителям муниципальных учреждений города Нижний Тагил:</w:t>
      </w:r>
    </w:p>
    <w:p w:rsidR="006C651A" w:rsidRDefault="006C651A">
      <w:pPr>
        <w:pStyle w:val="ConsPlusNormal"/>
        <w:spacing w:before="280"/>
        <w:ind w:firstLine="540"/>
        <w:jc w:val="both"/>
      </w:pPr>
      <w:r>
        <w:t xml:space="preserve">- исключить случаи оплаты невыполненных работ, услуг, </w:t>
      </w:r>
      <w:proofErr w:type="spellStart"/>
      <w:r>
        <w:t>непоставленного</w:t>
      </w:r>
      <w:proofErr w:type="spellEnd"/>
      <w:r>
        <w:t xml:space="preserve"> товара, приобретения объектов нефинансовых активов при отсутствии потребности в них при ведении деятельности учреждения;</w:t>
      </w:r>
    </w:p>
    <w:p w:rsidR="006C651A" w:rsidRDefault="006C651A">
      <w:pPr>
        <w:pStyle w:val="ConsPlusNormal"/>
        <w:spacing w:before="280"/>
        <w:ind w:firstLine="540"/>
        <w:jc w:val="both"/>
      </w:pPr>
      <w:r>
        <w:t>- не допускать образования кредиторской задолженности и принимать меры по ее погашению, в том числе за счет внебюджетных источников;</w:t>
      </w:r>
    </w:p>
    <w:p w:rsidR="006C651A" w:rsidRDefault="006C651A">
      <w:pPr>
        <w:pStyle w:val="ConsPlusNormal"/>
        <w:spacing w:before="280"/>
        <w:ind w:firstLine="540"/>
        <w:jc w:val="both"/>
      </w:pPr>
      <w:r>
        <w:t>3) Финансовому управлению Администрации города Нижний Тагил совместно с главными распорядителями бюджетных средств города Нижний Тагил выборочно проводить визуальные осмотры приобретенных нефинансовых активов, выполненных работ и оказанных услуг.</w:t>
      </w:r>
    </w:p>
    <w:p w:rsidR="006C651A" w:rsidRDefault="006C651A">
      <w:pPr>
        <w:pStyle w:val="ConsPlusNormal"/>
        <w:spacing w:before="280"/>
        <w:ind w:firstLine="540"/>
        <w:jc w:val="both"/>
      </w:pPr>
      <w:r>
        <w:lastRenderedPageBreak/>
        <w:t xml:space="preserve">8. </w:t>
      </w:r>
      <w:proofErr w:type="gramStart"/>
      <w:r>
        <w:t>Разместить</w:t>
      </w:r>
      <w:proofErr w:type="gramEnd"/>
      <w:r>
        <w:t xml:space="preserve"> данное Постановление на официальном сайте города Нижний Тагил.</w:t>
      </w:r>
    </w:p>
    <w:p w:rsidR="006C651A" w:rsidRDefault="006C651A">
      <w:pPr>
        <w:pStyle w:val="ConsPlusNormal"/>
        <w:spacing w:before="280"/>
        <w:ind w:firstLine="540"/>
        <w:jc w:val="both"/>
      </w:pPr>
      <w:r>
        <w:t xml:space="preserve">9. </w:t>
      </w:r>
      <w:proofErr w:type="gramStart"/>
      <w:r>
        <w:t>Контроль за</w:t>
      </w:r>
      <w:proofErr w:type="gramEnd"/>
      <w:r>
        <w:t xml:space="preserve"> выполнением настоящего Постановления возложить на заместителя Главы Администрации города по финансово-экономической политике А.В. </w:t>
      </w:r>
      <w:proofErr w:type="spellStart"/>
      <w:r>
        <w:t>Бурдилова</w:t>
      </w:r>
      <w:proofErr w:type="spellEnd"/>
      <w:r>
        <w:t>.</w:t>
      </w:r>
    </w:p>
    <w:p w:rsidR="006C651A" w:rsidRDefault="006C651A">
      <w:pPr>
        <w:pStyle w:val="ConsPlusNormal"/>
      </w:pPr>
    </w:p>
    <w:p w:rsidR="006C651A" w:rsidRDefault="006C651A">
      <w:pPr>
        <w:pStyle w:val="ConsPlusNormal"/>
        <w:jc w:val="right"/>
      </w:pPr>
      <w:r>
        <w:t>Глава города</w:t>
      </w:r>
    </w:p>
    <w:p w:rsidR="006C651A" w:rsidRDefault="006C651A">
      <w:pPr>
        <w:pStyle w:val="ConsPlusNormal"/>
        <w:jc w:val="right"/>
      </w:pPr>
      <w:r>
        <w:t>В.Ю.ПИНАЕВ</w:t>
      </w:r>
    </w:p>
    <w:p w:rsidR="006C651A" w:rsidRDefault="006C651A">
      <w:pPr>
        <w:pStyle w:val="ConsPlusNormal"/>
      </w:pPr>
    </w:p>
    <w:p w:rsidR="006C651A" w:rsidRDefault="006C651A">
      <w:pPr>
        <w:pStyle w:val="ConsPlusNormal"/>
      </w:pPr>
    </w:p>
    <w:p w:rsidR="006C651A" w:rsidRDefault="006C651A">
      <w:pPr>
        <w:pStyle w:val="ConsPlusNormal"/>
      </w:pPr>
    </w:p>
    <w:p w:rsidR="006C651A" w:rsidRDefault="006C651A">
      <w:pPr>
        <w:pStyle w:val="ConsPlusNormal"/>
      </w:pPr>
    </w:p>
    <w:p w:rsidR="006C651A" w:rsidRDefault="006C651A">
      <w:pPr>
        <w:pStyle w:val="ConsPlusNormal"/>
      </w:pPr>
    </w:p>
    <w:p w:rsidR="006C651A" w:rsidRDefault="006C651A">
      <w:pPr>
        <w:pStyle w:val="ConsPlusNormal"/>
        <w:jc w:val="right"/>
        <w:outlineLvl w:val="0"/>
      </w:pPr>
      <w:r>
        <w:t>Приложение</w:t>
      </w:r>
    </w:p>
    <w:p w:rsidR="006C651A" w:rsidRDefault="006C651A">
      <w:pPr>
        <w:pStyle w:val="ConsPlusNormal"/>
        <w:jc w:val="right"/>
      </w:pPr>
      <w:r>
        <w:t>к Постановлению</w:t>
      </w:r>
    </w:p>
    <w:p w:rsidR="006C651A" w:rsidRDefault="006C651A">
      <w:pPr>
        <w:pStyle w:val="ConsPlusNormal"/>
        <w:jc w:val="right"/>
      </w:pPr>
      <w:r>
        <w:t>Администрации города</w:t>
      </w:r>
    </w:p>
    <w:p w:rsidR="006C651A" w:rsidRDefault="006C651A">
      <w:pPr>
        <w:pStyle w:val="ConsPlusNormal"/>
        <w:jc w:val="right"/>
      </w:pPr>
      <w:r>
        <w:t>от 20 февраля 2020 г. N 326-ПА</w:t>
      </w:r>
    </w:p>
    <w:p w:rsidR="006C651A" w:rsidRDefault="006C651A">
      <w:pPr>
        <w:pStyle w:val="ConsPlusNormal"/>
      </w:pPr>
    </w:p>
    <w:p w:rsidR="006C651A" w:rsidRDefault="006C651A">
      <w:pPr>
        <w:pStyle w:val="ConsPlusTitle"/>
        <w:jc w:val="center"/>
      </w:pPr>
      <w:bookmarkStart w:id="0" w:name="P67"/>
      <w:bookmarkEnd w:id="0"/>
      <w:r>
        <w:t>ПЕРЕЧЕНЬ</w:t>
      </w:r>
    </w:p>
    <w:p w:rsidR="006C651A" w:rsidRDefault="006C651A">
      <w:pPr>
        <w:pStyle w:val="ConsPlusTitle"/>
        <w:jc w:val="center"/>
      </w:pPr>
      <w:r>
        <w:t>ТОВАРОВ, РАБОТ, УСЛУГ ДЛЯ ПРОВЕДЕНИЯ</w:t>
      </w:r>
    </w:p>
    <w:p w:rsidR="006C651A" w:rsidRDefault="006C651A">
      <w:pPr>
        <w:pStyle w:val="ConsPlusTitle"/>
        <w:jc w:val="center"/>
      </w:pPr>
      <w:r>
        <w:t>СОВМЕСТНЫХ ЗАКУПОК ЗАКАЗЧИКАМИ</w:t>
      </w:r>
    </w:p>
    <w:p w:rsidR="006C651A" w:rsidRDefault="006C651A">
      <w:pPr>
        <w:pStyle w:val="ConsPlusNormal"/>
      </w:pPr>
    </w:p>
    <w:p w:rsidR="006C651A" w:rsidRDefault="006C651A">
      <w:pPr>
        <w:pStyle w:val="ConsPlusNormal"/>
        <w:ind w:firstLine="540"/>
        <w:jc w:val="both"/>
      </w:pPr>
      <w:r>
        <w:t>1. Моторное топливо.</w:t>
      </w:r>
    </w:p>
    <w:p w:rsidR="006C651A" w:rsidRDefault="006C651A">
      <w:pPr>
        <w:pStyle w:val="ConsPlusNormal"/>
        <w:spacing w:before="280"/>
        <w:ind w:firstLine="540"/>
        <w:jc w:val="both"/>
      </w:pPr>
      <w:r>
        <w:t>2. Компьютерная техника (ноутбуки, системные блоки, мониторы).</w:t>
      </w:r>
    </w:p>
    <w:p w:rsidR="006C651A" w:rsidRDefault="006C651A">
      <w:pPr>
        <w:pStyle w:val="ConsPlusNormal"/>
        <w:spacing w:before="280"/>
        <w:ind w:firstLine="540"/>
        <w:jc w:val="both"/>
      </w:pPr>
      <w:r>
        <w:t>3. Бумага ксерографическая для офисной техники.</w:t>
      </w:r>
    </w:p>
    <w:p w:rsidR="006C651A" w:rsidRDefault="006C651A">
      <w:pPr>
        <w:pStyle w:val="ConsPlusNormal"/>
        <w:spacing w:before="280"/>
        <w:ind w:firstLine="540"/>
        <w:jc w:val="both"/>
      </w:pPr>
      <w:r>
        <w:t>4. Принтеры, многофункциональные устройства.</w:t>
      </w:r>
    </w:p>
    <w:p w:rsidR="006C651A" w:rsidRDefault="006C651A">
      <w:pPr>
        <w:pStyle w:val="ConsPlusNormal"/>
        <w:spacing w:before="280"/>
        <w:ind w:firstLine="540"/>
        <w:jc w:val="both"/>
      </w:pPr>
      <w:r>
        <w:t>5. Мебель.</w:t>
      </w:r>
    </w:p>
    <w:p w:rsidR="006C651A" w:rsidRDefault="006C651A">
      <w:pPr>
        <w:pStyle w:val="ConsPlusNormal"/>
        <w:spacing w:before="280"/>
        <w:ind w:firstLine="540"/>
        <w:jc w:val="both"/>
      </w:pPr>
      <w:r>
        <w:t>6. Картриджи.</w:t>
      </w:r>
    </w:p>
    <w:p w:rsidR="006C651A" w:rsidRDefault="006C651A">
      <w:pPr>
        <w:pStyle w:val="ConsPlusNormal"/>
        <w:spacing w:before="280"/>
        <w:ind w:firstLine="540"/>
        <w:jc w:val="both"/>
      </w:pPr>
      <w:r>
        <w:t>7. Медицинские осмотры.</w:t>
      </w:r>
    </w:p>
    <w:p w:rsidR="006C651A" w:rsidRDefault="006C651A">
      <w:pPr>
        <w:pStyle w:val="ConsPlusNormal"/>
        <w:spacing w:before="280"/>
        <w:ind w:firstLine="540"/>
        <w:jc w:val="both"/>
      </w:pPr>
      <w:r>
        <w:t>8. Проведение специальной оценки условий труда.</w:t>
      </w:r>
    </w:p>
    <w:p w:rsidR="006C651A" w:rsidRDefault="006C651A">
      <w:pPr>
        <w:pStyle w:val="ConsPlusNormal"/>
        <w:spacing w:before="280"/>
        <w:ind w:firstLine="540"/>
        <w:jc w:val="both"/>
      </w:pPr>
      <w:r>
        <w:t>9. Выполнение работ по ремонту зданий (при наличии одинаковых видов работ).</w:t>
      </w:r>
    </w:p>
    <w:p w:rsidR="006C651A" w:rsidRDefault="006C651A">
      <w:pPr>
        <w:pStyle w:val="ConsPlusNormal"/>
        <w:spacing w:before="280"/>
        <w:ind w:firstLine="540"/>
        <w:jc w:val="both"/>
      </w:pPr>
      <w:r>
        <w:t>10. Хозяйственные и бытовые товары.</w:t>
      </w:r>
    </w:p>
    <w:p w:rsidR="006C651A" w:rsidRDefault="006C651A">
      <w:pPr>
        <w:pStyle w:val="ConsPlusNormal"/>
      </w:pPr>
    </w:p>
    <w:p w:rsidR="006C651A" w:rsidRDefault="006C651A">
      <w:pPr>
        <w:pStyle w:val="ConsPlusNormal"/>
      </w:pPr>
    </w:p>
    <w:p w:rsidR="006C651A" w:rsidRDefault="006C651A">
      <w:pPr>
        <w:pStyle w:val="ConsPlusNormal"/>
        <w:pBdr>
          <w:top w:val="single" w:sz="6" w:space="0" w:color="auto"/>
        </w:pBdr>
        <w:spacing w:before="100" w:after="100"/>
        <w:jc w:val="both"/>
        <w:rPr>
          <w:sz w:val="2"/>
          <w:szCs w:val="2"/>
        </w:rPr>
      </w:pPr>
    </w:p>
    <w:p w:rsidR="00940E19" w:rsidRPr="008C14FB" w:rsidRDefault="00940E19">
      <w:pPr>
        <w:rPr>
          <w:rFonts w:ascii="Liberation Serif" w:hAnsi="Liberation Serif" w:cstheme="minorHAnsi"/>
          <w:sz w:val="28"/>
          <w:szCs w:val="28"/>
        </w:rPr>
      </w:pPr>
      <w:bookmarkStart w:id="1" w:name="_GoBack"/>
      <w:bookmarkEnd w:id="1"/>
    </w:p>
    <w:sectPr w:rsidR="00940E19" w:rsidRPr="008C14FB" w:rsidSect="00D76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1A"/>
    <w:rsid w:val="006C651A"/>
    <w:rsid w:val="008C14FB"/>
    <w:rsid w:val="00940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51A"/>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rsid w:val="006C651A"/>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customStyle="1" w:styleId="ConsPlusTitlePage">
    <w:name w:val="ConsPlusTitlePage"/>
    <w:rsid w:val="006C651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51A"/>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rsid w:val="006C651A"/>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customStyle="1" w:styleId="ConsPlusTitlePage">
    <w:name w:val="ConsPlusTitlePage"/>
    <w:rsid w:val="006C65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B4A44F81795042AD0A49D25B67F13049D47DFFC5E0F207916839A4AA1899E54FCDE71E3DA61681AA8278184A9FAF21086087516DC67A3EH8S0J" TargetMode="External"/><Relationship Id="rId3" Type="http://schemas.openxmlformats.org/officeDocument/2006/relationships/settings" Target="settings.xml"/><Relationship Id="rId7" Type="http://schemas.openxmlformats.org/officeDocument/2006/relationships/hyperlink" Target="consultantplus://offline/ref=E5B4A44F81795042AD0A57DF4D0BAF3A4BDB21F6C4EEF051CD3A3FF3F5489FB00F8DE14B7EE31385AD892C4B09C1F6714C2B8A5873DA7A349E2F3732H7SB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5B4A44F81795042AD0A49D25B67F13049D578FAC1EDF207916839A4AA1899E54FCDE7163CA615D0FCCD79440FCABC200060855971HCS4J"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1361</Words>
  <Characters>7759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Играков П.С.</dc:creator>
  <cp:lastModifiedBy>Играков П.С.</cp:lastModifiedBy>
  <cp:revision>1</cp:revision>
  <dcterms:created xsi:type="dcterms:W3CDTF">2020-08-10T09:18:00Z</dcterms:created>
  <dcterms:modified xsi:type="dcterms:W3CDTF">2020-08-10T09:22:00Z</dcterms:modified>
</cp:coreProperties>
</file>